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方正小标宋简体" w:eastAsia="方正小标宋简体"/>
          <w:sz w:val="36"/>
          <w:szCs w:val="36"/>
        </w:rPr>
      </w:pPr>
      <w:bookmarkStart w:id="0" w:name="_GoBack"/>
      <w:bookmarkEnd w:id="0"/>
      <w:r>
        <w:rPr>
          <w:rFonts w:hint="eastAsia" w:ascii="方正小标宋简体" w:eastAsia="方正小标宋简体"/>
          <w:sz w:val="36"/>
          <w:szCs w:val="36"/>
        </w:rPr>
        <w:t>滁州学院教学工作量计算办法（试行）</w:t>
      </w:r>
    </w:p>
    <w:p>
      <w:pPr>
        <w:spacing w:line="360" w:lineRule="auto"/>
        <w:jc w:val="center"/>
        <w:rPr>
          <w:rFonts w:hint="eastAsia" w:ascii="方正小标宋简体" w:eastAsia="方正小标宋简体"/>
          <w:sz w:val="30"/>
          <w:szCs w:val="30"/>
        </w:rPr>
      </w:pPr>
      <w:r>
        <w:rPr>
          <w:rFonts w:hint="eastAsia" w:ascii="方正小标宋简体" w:eastAsia="方正小标宋简体"/>
          <w:sz w:val="30"/>
          <w:szCs w:val="30"/>
        </w:rPr>
        <w:t>（校政教</w:t>
      </w:r>
      <w:r>
        <w:rPr>
          <w:rFonts w:hint="eastAsia" w:ascii="宋体" w:hAnsi="宋体"/>
          <w:sz w:val="30"/>
          <w:szCs w:val="30"/>
        </w:rPr>
        <w:t>﹝</w:t>
      </w:r>
      <w:r>
        <w:rPr>
          <w:rFonts w:hint="eastAsia" w:ascii="方正小标宋简体" w:eastAsia="方正小标宋简体"/>
          <w:sz w:val="30"/>
          <w:szCs w:val="30"/>
        </w:rPr>
        <w:t>2014</w:t>
      </w:r>
      <w:r>
        <w:rPr>
          <w:rFonts w:hint="eastAsia" w:ascii="宋体" w:hAnsi="宋体"/>
          <w:sz w:val="30"/>
          <w:szCs w:val="30"/>
        </w:rPr>
        <w:t>﹞</w:t>
      </w:r>
      <w:r>
        <w:rPr>
          <w:rFonts w:hint="eastAsia" w:ascii="方正小标宋简体" w:eastAsia="方正小标宋简体"/>
          <w:sz w:val="30"/>
          <w:szCs w:val="30"/>
        </w:rPr>
        <w:t>25号）</w:t>
      </w:r>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为进一步深化教育教学改革，不断提高人才培养质量，充分调动广大教师的工作积极性，客观评价教师在教学过程中所付出的工作量，根据教育部和省教育厅有关文件精神，参考同类高校的教学工作量计算办法，并结合学校教学工作实际，特制定本办法。</w:t>
      </w:r>
    </w:p>
    <w:p>
      <w:pPr>
        <w:tabs>
          <w:tab w:val="left" w:pos="3225"/>
        </w:tabs>
        <w:spacing w:line="520" w:lineRule="exact"/>
        <w:ind w:firstLine="562" w:firstLineChars="200"/>
        <w:rPr>
          <w:rFonts w:hint="eastAsia" w:ascii="仿宋_GB2312" w:hAnsi="宋体" w:eastAsia="仿宋_GB2312"/>
          <w:b/>
          <w:sz w:val="28"/>
          <w:szCs w:val="28"/>
        </w:rPr>
      </w:pPr>
      <w:r>
        <w:rPr>
          <w:rFonts w:hint="eastAsia" w:ascii="仿宋_GB2312" w:hAnsi="宋体" w:eastAsia="仿宋_GB2312"/>
          <w:b/>
          <w:sz w:val="28"/>
          <w:szCs w:val="28"/>
        </w:rPr>
        <w:t>一、教学工作量构成</w:t>
      </w:r>
      <w:r>
        <w:rPr>
          <w:rFonts w:hint="eastAsia" w:ascii="仿宋_GB2312" w:hAnsi="宋体" w:eastAsia="仿宋_GB2312"/>
          <w:b/>
          <w:sz w:val="28"/>
          <w:szCs w:val="28"/>
        </w:rPr>
        <w:tab/>
      </w:r>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 教学工作量由理论教学工作量、实践教学工作量两部分构成。</w:t>
      </w:r>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2. 理论教学工作量和实践教学工作量的计算范围为专业人才培养方案所设定的课程与实践教学环节；凡人才培养方案未列出的课程或实践教学环节，涉及的工作补贴均应从相关专项经费支出，不计入教学工作量。</w:t>
      </w:r>
    </w:p>
    <w:p>
      <w:pPr>
        <w:tabs>
          <w:tab w:val="left" w:pos="3225"/>
        </w:tabs>
        <w:spacing w:line="520" w:lineRule="exact"/>
        <w:ind w:firstLine="562" w:firstLineChars="200"/>
        <w:rPr>
          <w:rFonts w:hint="eastAsia" w:ascii="仿宋_GB2312" w:hAnsi="宋体" w:eastAsia="仿宋_GB2312"/>
          <w:b/>
          <w:sz w:val="28"/>
          <w:szCs w:val="28"/>
        </w:rPr>
      </w:pPr>
      <w:r>
        <w:rPr>
          <w:rFonts w:hint="eastAsia" w:ascii="仿宋_GB2312" w:hAnsi="宋体" w:eastAsia="仿宋_GB2312"/>
          <w:b/>
          <w:sz w:val="28"/>
          <w:szCs w:val="28"/>
        </w:rPr>
        <w:t>二、教学工作量计算办法</w:t>
      </w:r>
    </w:p>
    <w:p>
      <w:pPr>
        <w:spacing w:line="520" w:lineRule="exact"/>
        <w:ind w:firstLine="556"/>
        <w:rPr>
          <w:rFonts w:hint="eastAsia" w:ascii="仿宋_GB2312" w:hAnsi="宋体" w:eastAsia="仿宋_GB2312"/>
          <w:b/>
          <w:sz w:val="28"/>
          <w:szCs w:val="28"/>
        </w:rPr>
      </w:pPr>
      <w:r>
        <w:rPr>
          <w:rFonts w:hint="eastAsia" w:ascii="仿宋_GB2312" w:hAnsi="宋体" w:eastAsia="仿宋_GB2312"/>
          <w:b/>
          <w:sz w:val="28"/>
          <w:szCs w:val="28"/>
        </w:rPr>
        <w:t>（一）理论教学工作量</w:t>
      </w:r>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 理论教学是指人才培养方案中课程的理论教学部分，主要工作任务包括：备课（含授课进度表、教案、课件的编制等）、课堂讲授、辅导答疑、批改作业、课程考核、教学小结等。</w:t>
      </w:r>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2. 理论教学工作量的计算公式为：</w:t>
      </w:r>
    </w:p>
    <w:p>
      <w:pPr>
        <w:spacing w:line="520" w:lineRule="exact"/>
        <w:jc w:val="center"/>
        <w:rPr>
          <w:rFonts w:hint="eastAsia" w:ascii="仿宋_GB2312" w:hAnsi="宋体" w:eastAsia="仿宋_GB2312"/>
          <w:b/>
          <w:sz w:val="28"/>
          <w:szCs w:val="28"/>
        </w:rPr>
      </w:pPr>
      <w:r>
        <w:rPr>
          <w:rFonts w:hint="eastAsia" w:ascii="仿宋_GB2312" w:hAnsi="宋体" w:eastAsia="仿宋_GB2312"/>
          <w:b/>
          <w:sz w:val="28"/>
          <w:szCs w:val="28"/>
        </w:rPr>
        <w:t>计划课时×课程系数×规模系数；</w:t>
      </w:r>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其中：</w:t>
      </w:r>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（1）计划课时为人才培养方案中规定的课程理论教学部分的计划学时。</w:t>
      </w:r>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2）理论课程的课程系数为1.0（按课程大纲规定完成相应辅导答疑、批改作业、课程考核、教学小结等环节教学任务的，理工类课程的课程系数增加0.15，其他类课程的课程系数增加0.1；全校范围内对本校同一层次学生首次开设的课程，课程系数在原有基础上增加0.1）。</w:t>
      </w:r>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（3）根据课程属性、专业类别和班级人数情况，确定规模系数，方法如下表：</w:t>
      </w:r>
    </w:p>
    <w:tbl>
      <w:tblPr>
        <w:tblStyle w:val="6"/>
        <w:tblW w:w="82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7"/>
        <w:gridCol w:w="1440"/>
        <w:gridCol w:w="4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jc w:val="center"/>
        </w:trPr>
        <w:tc>
          <w:tcPr>
            <w:tcW w:w="1957" w:type="dxa"/>
            <w:vAlign w:val="center"/>
          </w:tcPr>
          <w:p>
            <w:pPr>
              <w:rPr>
                <w:rFonts w:hint="eastAsia" w:ascii="宋体" w:hAnsi="宋体"/>
                <w:b/>
                <w:sz w:val="24"/>
              </w:rPr>
            </w:pPr>
            <w:r>
              <w:rPr>
                <w:rFonts w:hint="eastAsia" w:ascii="宋体" w:hAnsi="宋体"/>
                <w:b/>
                <w:sz w:val="24"/>
              </w:rPr>
              <w:t>专业类别</w:t>
            </w:r>
          </w:p>
        </w:tc>
        <w:tc>
          <w:tcPr>
            <w:tcW w:w="1440" w:type="dxa"/>
            <w:vAlign w:val="center"/>
          </w:tcPr>
          <w:p>
            <w:pPr>
              <w:rPr>
                <w:rFonts w:hint="eastAsia" w:ascii="宋体" w:hAnsi="宋体"/>
                <w:b/>
                <w:sz w:val="24"/>
              </w:rPr>
            </w:pPr>
            <w:r>
              <w:rPr>
                <w:rFonts w:hint="eastAsia" w:ascii="宋体" w:hAnsi="宋体"/>
                <w:b/>
                <w:sz w:val="24"/>
              </w:rPr>
              <w:t>标准班人数</w:t>
            </w:r>
          </w:p>
        </w:tc>
        <w:tc>
          <w:tcPr>
            <w:tcW w:w="4860" w:type="dxa"/>
            <w:vAlign w:val="center"/>
          </w:tcPr>
          <w:p>
            <w:pPr>
              <w:spacing w:line="480" w:lineRule="exact"/>
              <w:jc w:val="center"/>
              <w:rPr>
                <w:rFonts w:hint="eastAsia" w:ascii="宋体" w:hAnsi="宋体"/>
                <w:b/>
                <w:sz w:val="24"/>
              </w:rPr>
            </w:pPr>
            <w:r>
              <w:rPr>
                <w:rFonts w:hint="eastAsia" w:ascii="宋体" w:hAnsi="宋体"/>
                <w:b/>
                <w:sz w:val="24"/>
              </w:rPr>
              <w:t>规模系数计算方法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1957" w:type="dxa"/>
            <w:vAlign w:val="center"/>
          </w:tcPr>
          <w:p>
            <w:pPr>
              <w:rPr>
                <w:rFonts w:hint="eastAsia" w:ascii="宋体" w:hAnsi="宋体"/>
                <w:sz w:val="24"/>
              </w:rPr>
            </w:pPr>
            <w:r>
              <w:rPr>
                <w:rFonts w:hint="eastAsia" w:ascii="宋体" w:hAnsi="宋体"/>
                <w:sz w:val="24"/>
              </w:rPr>
              <w:t>一般专业</w:t>
            </w:r>
          </w:p>
        </w:tc>
        <w:tc>
          <w:tcPr>
            <w:tcW w:w="1440" w:type="dxa"/>
            <w:vAlign w:val="center"/>
          </w:tcPr>
          <w:p>
            <w:pPr>
              <w:rPr>
                <w:rFonts w:hint="eastAsia" w:ascii="宋体" w:hAnsi="宋体"/>
                <w:sz w:val="24"/>
              </w:rPr>
            </w:pPr>
            <w:r>
              <w:rPr>
                <w:rFonts w:hint="eastAsia" w:ascii="宋体" w:hAnsi="宋体"/>
                <w:sz w:val="24"/>
              </w:rPr>
              <w:t>50</w:t>
            </w:r>
          </w:p>
        </w:tc>
        <w:tc>
          <w:tcPr>
            <w:tcW w:w="4860" w:type="dxa"/>
            <w:vMerge w:val="restart"/>
            <w:vAlign w:val="center"/>
          </w:tcPr>
          <w:p>
            <w:pPr>
              <w:spacing w:line="360" w:lineRule="exact"/>
              <w:rPr>
                <w:rFonts w:hint="eastAsia" w:ascii="宋体" w:hAnsi="宋体"/>
                <w:sz w:val="24"/>
              </w:rPr>
            </w:pPr>
            <w:r>
              <w:rPr>
                <w:rFonts w:hint="eastAsia" w:ascii="宋体" w:hAnsi="宋体"/>
                <w:sz w:val="24"/>
              </w:rPr>
              <w:t>1. 学生人数等于或小于一个标准班人数的，规模系数为1.0。</w:t>
            </w:r>
          </w:p>
          <w:p>
            <w:pPr>
              <w:spacing w:line="360" w:lineRule="exact"/>
              <w:rPr>
                <w:rFonts w:hint="eastAsia" w:ascii="宋体" w:hAnsi="宋体"/>
                <w:sz w:val="24"/>
              </w:rPr>
            </w:pPr>
            <w:r>
              <w:rPr>
                <w:rFonts w:hint="eastAsia" w:ascii="宋体" w:hAnsi="宋体"/>
                <w:sz w:val="24"/>
              </w:rPr>
              <w:t>2. 一般专业50-100人，每增加10人，规模系数增加0.05；100人以上，每增加10人，规模系数增加0.025。公共基础课程的规模系数按一般专业课程的规模系数计算。                                                                外语类、艺术类规模系数计算同理。</w:t>
            </w:r>
          </w:p>
          <w:p>
            <w:pPr>
              <w:spacing w:line="360" w:lineRule="exact"/>
              <w:rPr>
                <w:rFonts w:hint="eastAsia" w:ascii="宋体" w:hAnsi="宋体"/>
                <w:sz w:val="24"/>
              </w:rPr>
            </w:pPr>
            <w:r>
              <w:rPr>
                <w:rFonts w:hint="eastAsia" w:ascii="宋体" w:hAnsi="宋体"/>
                <w:sz w:val="24"/>
              </w:rPr>
              <w:t>3. 班级人数尾数按四舍五入计算。</w:t>
            </w:r>
          </w:p>
          <w:p>
            <w:pPr>
              <w:spacing w:line="360" w:lineRule="exact"/>
              <w:rPr>
                <w:rFonts w:hint="eastAsia" w:ascii="宋体" w:hAnsi="宋体"/>
                <w:sz w:val="24"/>
              </w:rPr>
            </w:pPr>
            <w:r>
              <w:rPr>
                <w:rFonts w:hint="eastAsia" w:ascii="宋体" w:hAnsi="宋体"/>
                <w:sz w:val="24"/>
              </w:rPr>
              <w:t>4. 规模系数最多不超过1.35。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1957" w:type="dxa"/>
            <w:vAlign w:val="center"/>
          </w:tcPr>
          <w:p>
            <w:pPr>
              <w:rPr>
                <w:rFonts w:hint="eastAsia" w:ascii="宋体" w:hAnsi="宋体"/>
                <w:sz w:val="24"/>
              </w:rPr>
            </w:pPr>
            <w:r>
              <w:rPr>
                <w:rFonts w:hint="eastAsia" w:ascii="宋体" w:hAnsi="宋体"/>
                <w:sz w:val="24"/>
              </w:rPr>
              <w:t>外语类</w:t>
            </w:r>
          </w:p>
        </w:tc>
        <w:tc>
          <w:tcPr>
            <w:tcW w:w="1440" w:type="dxa"/>
            <w:vAlign w:val="center"/>
          </w:tcPr>
          <w:p>
            <w:pPr>
              <w:rPr>
                <w:rFonts w:hint="eastAsia" w:ascii="宋体" w:hAnsi="宋体"/>
                <w:sz w:val="24"/>
              </w:rPr>
            </w:pPr>
            <w:r>
              <w:rPr>
                <w:rFonts w:hint="eastAsia" w:ascii="宋体" w:hAnsi="宋体"/>
                <w:sz w:val="24"/>
              </w:rPr>
              <w:t>30</w:t>
            </w:r>
          </w:p>
        </w:tc>
        <w:tc>
          <w:tcPr>
            <w:tcW w:w="4860" w:type="dxa"/>
            <w:vMerge w:val="continue"/>
            <w:vAlign w:val="center"/>
          </w:tcPr>
          <w:p>
            <w:pPr>
              <w:spacing w:line="36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1957" w:type="dxa"/>
            <w:vAlign w:val="center"/>
          </w:tcPr>
          <w:p>
            <w:pPr>
              <w:rPr>
                <w:rFonts w:hint="eastAsia" w:ascii="宋体" w:hAnsi="宋体"/>
                <w:sz w:val="24"/>
              </w:rPr>
            </w:pPr>
            <w:r>
              <w:rPr>
                <w:rFonts w:hint="eastAsia" w:ascii="宋体" w:hAnsi="宋体"/>
                <w:sz w:val="24"/>
              </w:rPr>
              <w:t>艺术类</w:t>
            </w:r>
          </w:p>
        </w:tc>
        <w:tc>
          <w:tcPr>
            <w:tcW w:w="1440" w:type="dxa"/>
            <w:vAlign w:val="center"/>
          </w:tcPr>
          <w:p>
            <w:pPr>
              <w:rPr>
                <w:rFonts w:hint="eastAsia" w:ascii="宋体" w:hAnsi="宋体"/>
                <w:sz w:val="24"/>
              </w:rPr>
            </w:pPr>
            <w:r>
              <w:rPr>
                <w:rFonts w:hint="eastAsia" w:ascii="宋体" w:hAnsi="宋体"/>
                <w:sz w:val="24"/>
              </w:rPr>
              <w:t>35</w:t>
            </w:r>
          </w:p>
        </w:tc>
        <w:tc>
          <w:tcPr>
            <w:tcW w:w="4860" w:type="dxa"/>
            <w:vMerge w:val="continue"/>
            <w:vAlign w:val="center"/>
          </w:tcPr>
          <w:p>
            <w:pPr>
              <w:spacing w:line="360" w:lineRule="exact"/>
              <w:rPr>
                <w:rFonts w:hint="eastAsia" w:ascii="宋体" w:hAnsi="宋体"/>
                <w:sz w:val="24"/>
              </w:rPr>
            </w:pPr>
          </w:p>
        </w:tc>
      </w:tr>
    </w:tbl>
    <w:p>
      <w:pPr>
        <w:spacing w:line="520" w:lineRule="exact"/>
        <w:ind w:firstLine="556"/>
        <w:rPr>
          <w:rFonts w:hint="eastAsia" w:ascii="仿宋_GB2312" w:hAnsi="宋体" w:eastAsia="仿宋_GB2312"/>
          <w:b/>
          <w:sz w:val="28"/>
          <w:szCs w:val="28"/>
        </w:rPr>
      </w:pPr>
      <w:r>
        <w:rPr>
          <w:rFonts w:hint="eastAsia" w:ascii="仿宋_GB2312" w:hAnsi="宋体" w:eastAsia="仿宋_GB2312"/>
          <w:b/>
          <w:sz w:val="28"/>
          <w:szCs w:val="28"/>
        </w:rPr>
        <w:t>（二）实践教学工作量</w:t>
      </w:r>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实践教学指人才培养方案设定的实验、实习实训、综合训练等实践教学部分。实践教学工作量计算时，根据各类实践教学的特点，分成实验、技能技巧课、课程设计（含学年设计、学年论文）、实习实训、毕业实习、毕业设计（论文）等六个类别。</w:t>
      </w:r>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 实验教学是指一般专业的实验教学部分（美术、音乐、体育等专业技能实践教学除外），主要工作任务包括实验课的备课、预做、主讲、指导、批改实验报告以及实验课考核等，工作量计算公式为：</w:t>
      </w:r>
    </w:p>
    <w:p>
      <w:pPr>
        <w:spacing w:line="520" w:lineRule="exact"/>
        <w:jc w:val="center"/>
        <w:rPr>
          <w:rFonts w:hint="eastAsia" w:ascii="仿宋_GB2312" w:hAnsi="宋体" w:eastAsia="仿宋_GB2312"/>
          <w:b/>
          <w:sz w:val="28"/>
          <w:szCs w:val="28"/>
        </w:rPr>
      </w:pPr>
      <w:r>
        <w:rPr>
          <w:rFonts w:hint="eastAsia" w:ascii="仿宋_GB2312" w:hAnsi="宋体" w:eastAsia="仿宋_GB2312"/>
          <w:b/>
          <w:sz w:val="28"/>
          <w:szCs w:val="28"/>
        </w:rPr>
        <w:t>计划课时×组数×规模系数；</w:t>
      </w:r>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其中：</w:t>
      </w:r>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（1）计划课时为人才培养方案规定的实验实训的计划课时。</w:t>
      </w:r>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（2）各专业应根据实验实训的特点并结合实际，进行合理分组；</w:t>
      </w:r>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（3）规模系数的计算办法：</w:t>
      </w:r>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专业实验实训以20人为一个标准组，规模系数为1.0；每增加1人，系数增加0.01，每减少1人，系数减少0.01，系数最多不得超过1.3。</w:t>
      </w:r>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计算机基础上机实验以50人为一个标准组，规模系数为1.0；每增加1人，系数增加0.01，每减少1人，系数减少0.01，系数最多不得超过1.2。</w:t>
      </w:r>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2. 技能技巧课是指美术、音乐、体育（含公共体育课）等专业技能技巧等方面实践教学，主要工作任务包括：准备、技能指导、辅导练习、测试等，计算公式：</w:t>
      </w:r>
    </w:p>
    <w:p>
      <w:pPr>
        <w:spacing w:line="520" w:lineRule="exact"/>
        <w:jc w:val="center"/>
        <w:rPr>
          <w:rFonts w:hint="eastAsia" w:ascii="仿宋_GB2312" w:hAnsi="宋体" w:eastAsia="仿宋_GB2312"/>
          <w:b/>
          <w:sz w:val="28"/>
          <w:szCs w:val="28"/>
        </w:rPr>
      </w:pPr>
      <w:r>
        <w:rPr>
          <w:rFonts w:hint="eastAsia" w:ascii="仿宋_GB2312" w:hAnsi="宋体" w:eastAsia="仿宋_GB2312"/>
          <w:b/>
          <w:sz w:val="28"/>
          <w:szCs w:val="28"/>
        </w:rPr>
        <w:t>计划课时×组数×规模系数；</w:t>
      </w:r>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其中：</w:t>
      </w:r>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（1）计划课时为人才培养方案中规定的计划课时。</w:t>
      </w:r>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（2）规模系数的计算办法：</w:t>
      </w:r>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音乐类专业技能技巧课的规模系数为0.9（声、器乐课程以2人为1组计，每增加1个学生系数增加0.1；其它技能技巧课以10人为一组分组授课，需合组上课时按每增加1人，系数增加0.02。以上系数总额不得超过1.1）；</w:t>
      </w:r>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美术类专业技能技巧课的规模系数为0.9（以15人为一组，每增加1人，系数增加0.02，系数总额不得超过1.1）；</w:t>
      </w:r>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体育类专业术科课程的规模系数为1.0（以15人为一组，每增加1人，系数增加0.01，系数总额不得超过1.1）；</w:t>
      </w:r>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公共体育课的规模系数为1.0（以30人为一组，每增加1人，系数增加0.01，系数总额不得超过1.1）。</w:t>
      </w:r>
    </w:p>
    <w:p>
      <w:pPr>
        <w:spacing w:line="520" w:lineRule="exact"/>
        <w:ind w:firstLine="562" w:firstLineChars="200"/>
        <w:rPr>
          <w:rFonts w:hint="eastAsia" w:ascii="仿宋_GB2312" w:hAnsi="宋体" w:eastAsia="仿宋_GB2312"/>
          <w:b/>
          <w:sz w:val="28"/>
          <w:szCs w:val="28"/>
        </w:rPr>
      </w:pPr>
      <w:r>
        <w:rPr>
          <w:rFonts w:hint="eastAsia" w:ascii="仿宋_GB2312" w:hAnsi="宋体" w:eastAsia="仿宋_GB2312"/>
          <w:b/>
          <w:sz w:val="28"/>
          <w:szCs w:val="28"/>
        </w:rPr>
        <w:t>3. 课程设计（含学年设计、学年论文）教学工作量</w:t>
      </w:r>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包括备课、拟题、辅导、批改设计及考核等内容，计算公式为：</w:t>
      </w:r>
    </w:p>
    <w:p>
      <w:pPr>
        <w:spacing w:line="520" w:lineRule="exact"/>
        <w:ind w:firstLine="562" w:firstLineChars="200"/>
        <w:jc w:val="center"/>
        <w:rPr>
          <w:rFonts w:hint="eastAsia" w:ascii="仿宋_GB2312" w:hAnsi="宋体" w:eastAsia="仿宋_GB2312"/>
          <w:b/>
          <w:sz w:val="28"/>
          <w:szCs w:val="28"/>
        </w:rPr>
      </w:pPr>
      <w:r>
        <w:rPr>
          <w:rFonts w:hint="eastAsia" w:ascii="仿宋_GB2312" w:hAnsi="宋体" w:eastAsia="仿宋_GB2312"/>
          <w:b/>
          <w:sz w:val="28"/>
          <w:szCs w:val="28"/>
        </w:rPr>
        <w:t>学分×学生数×0.9；</w:t>
      </w:r>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其中：（1）学分为人才培养方案规定的课程学分数；（2）每名教师一般指导学生人数不得超过25人。</w:t>
      </w:r>
    </w:p>
    <w:p>
      <w:pPr>
        <w:spacing w:line="520" w:lineRule="exact"/>
        <w:ind w:firstLine="562" w:firstLineChars="200"/>
        <w:rPr>
          <w:rFonts w:hint="eastAsia" w:ascii="仿宋_GB2312" w:hAnsi="宋体" w:eastAsia="仿宋_GB2312"/>
          <w:b/>
          <w:sz w:val="28"/>
          <w:szCs w:val="28"/>
        </w:rPr>
      </w:pPr>
      <w:r>
        <w:rPr>
          <w:rFonts w:hint="eastAsia" w:ascii="仿宋_GB2312" w:hAnsi="宋体" w:eastAsia="仿宋_GB2312"/>
          <w:b/>
          <w:sz w:val="28"/>
          <w:szCs w:val="28"/>
        </w:rPr>
        <w:t>4.实习实训教学工作量</w:t>
      </w:r>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包括认识实习、生产实习、野外实习、外出写生、金工实训、教育实习、艺术实践周等实习实训课程，计算公式：</w:t>
      </w:r>
    </w:p>
    <w:p>
      <w:pPr>
        <w:spacing w:line="520" w:lineRule="exact"/>
        <w:ind w:firstLine="562" w:firstLineChars="200"/>
        <w:jc w:val="center"/>
        <w:rPr>
          <w:rFonts w:hint="eastAsia" w:ascii="仿宋_GB2312" w:hAnsi="宋体" w:eastAsia="仿宋_GB2312"/>
          <w:b/>
          <w:sz w:val="28"/>
          <w:szCs w:val="28"/>
        </w:rPr>
      </w:pPr>
      <w:r>
        <w:rPr>
          <w:rFonts w:hint="eastAsia" w:ascii="仿宋_GB2312" w:hAnsi="宋体" w:eastAsia="仿宋_GB2312"/>
          <w:b/>
          <w:sz w:val="28"/>
          <w:szCs w:val="28"/>
        </w:rPr>
        <w:t>学分×学生数×课程系数；</w:t>
      </w:r>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其中：（1）学分为人才培养方案规定的课程学分数；（2）野外实习和外出写生类课程，课程系数为1.2，每名教师一般指导学生数不得超过30人；（3）除野外实习和外出写生类的其它课程，课程系数为1.0，每名教师一般指导学生数不得超过20人。</w:t>
      </w:r>
    </w:p>
    <w:p>
      <w:pPr>
        <w:spacing w:line="520" w:lineRule="exact"/>
        <w:ind w:firstLine="562" w:firstLineChars="200"/>
        <w:rPr>
          <w:rFonts w:hint="eastAsia" w:ascii="仿宋_GB2312" w:hAnsi="宋体" w:eastAsia="仿宋_GB2312"/>
          <w:b/>
          <w:sz w:val="28"/>
          <w:szCs w:val="28"/>
        </w:rPr>
      </w:pPr>
      <w:r>
        <w:rPr>
          <w:rFonts w:hint="eastAsia" w:ascii="仿宋_GB2312" w:hAnsi="宋体" w:eastAsia="仿宋_GB2312"/>
          <w:b/>
          <w:sz w:val="28"/>
          <w:szCs w:val="28"/>
        </w:rPr>
        <w:t>5.毕业实习教学工作量</w:t>
      </w:r>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包括集中实习和分散实习，计算公式：</w:t>
      </w:r>
    </w:p>
    <w:p>
      <w:pPr>
        <w:spacing w:line="520" w:lineRule="exact"/>
        <w:ind w:firstLine="562" w:firstLineChars="200"/>
        <w:jc w:val="center"/>
        <w:rPr>
          <w:rFonts w:hint="eastAsia" w:ascii="仿宋_GB2312" w:hAnsi="宋体" w:eastAsia="仿宋_GB2312"/>
          <w:b/>
          <w:sz w:val="28"/>
          <w:szCs w:val="28"/>
        </w:rPr>
      </w:pPr>
      <w:r>
        <w:rPr>
          <w:rFonts w:hint="eastAsia" w:ascii="仿宋_GB2312" w:hAnsi="宋体" w:eastAsia="仿宋_GB2312"/>
          <w:b/>
          <w:sz w:val="28"/>
          <w:szCs w:val="28"/>
        </w:rPr>
        <w:t>学分×学生数×课程系数；</w:t>
      </w:r>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其中：（1）学分为人才培养方案规定的课程学分数；（2）集中实习的课程系数为0.2，每名教师一般指导学生数不得超过25人；（3）分散实习的课程系数为0.1，每名教师一般指导学生数不得超过50人；（4）两种形式兼而有之的，按照实际情况折算。</w:t>
      </w:r>
    </w:p>
    <w:p>
      <w:pPr>
        <w:spacing w:line="520" w:lineRule="exact"/>
        <w:ind w:firstLine="562" w:firstLineChars="200"/>
        <w:rPr>
          <w:rFonts w:hint="eastAsia" w:ascii="仿宋_GB2312" w:hAnsi="宋体" w:eastAsia="仿宋_GB2312"/>
          <w:b/>
          <w:sz w:val="28"/>
          <w:szCs w:val="28"/>
        </w:rPr>
      </w:pPr>
      <w:r>
        <w:rPr>
          <w:rFonts w:hint="eastAsia" w:ascii="仿宋_GB2312" w:hAnsi="宋体" w:eastAsia="仿宋_GB2312"/>
          <w:b/>
          <w:sz w:val="28"/>
          <w:szCs w:val="28"/>
        </w:rPr>
        <w:t>6.毕业设计（论文、综合训练等）教学工作量</w:t>
      </w:r>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按每生12个标准课时计算，指导人数应符合学校相关规定。联合指导毕业设计（论文）的，按照实际情况折算。</w:t>
      </w:r>
    </w:p>
    <w:p>
      <w:pPr>
        <w:spacing w:line="520" w:lineRule="exact"/>
        <w:ind w:firstLine="556"/>
        <w:rPr>
          <w:rFonts w:hint="eastAsia" w:ascii="仿宋_GB2312" w:hAnsi="宋体" w:eastAsia="仿宋_GB2312"/>
          <w:b/>
          <w:sz w:val="28"/>
          <w:szCs w:val="28"/>
        </w:rPr>
      </w:pPr>
      <w:r>
        <w:rPr>
          <w:rFonts w:hint="eastAsia" w:ascii="仿宋_GB2312" w:hAnsi="宋体" w:eastAsia="仿宋_GB2312"/>
          <w:b/>
          <w:sz w:val="28"/>
          <w:szCs w:val="28"/>
        </w:rPr>
        <w:t>三、说明</w:t>
      </w:r>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 教学工作量每学年结算一次，由院（部）负责统计与计算，教务处负责审核。</w:t>
      </w:r>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2. 教学工作量统计与计算须坚持实事求是，本着对学生负责，对教师负责，对学校负责，严禁弄虚作假。</w:t>
      </w:r>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3.工作量计算办法中，没有明确但属于专业人才培养方案内容的其他教育教学活动，其工作量计算办法应参照上述相应条款执行；未纳入专业人才培养方案内容的，从院（部）相关专项经费中对参与指导的教师予以补助。</w:t>
      </w:r>
    </w:p>
    <w:p>
      <w:pPr>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4. 本办法自2014-2015学年起执行，由教务处负责解释。原《滁州学院教学工作量计算办法（试行）》（院发字〔2005〕06号）同时废止。</w:t>
      </w:r>
    </w:p>
    <w:sectPr>
      <w:footerReference r:id="rId3" w:type="default"/>
      <w:footerReference r:id="rId4" w:type="even"/>
      <w:pgSz w:w="11906" w:h="16838"/>
      <w:pgMar w:top="1418" w:right="1361" w:bottom="1418" w:left="136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000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- 4 -</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290"/>
    <w:rsid w:val="00020A8C"/>
    <w:rsid w:val="00037B33"/>
    <w:rsid w:val="0004763C"/>
    <w:rsid w:val="00051196"/>
    <w:rsid w:val="000861A8"/>
    <w:rsid w:val="000872F4"/>
    <w:rsid w:val="000A3B6B"/>
    <w:rsid w:val="000A68E5"/>
    <w:rsid w:val="000B067A"/>
    <w:rsid w:val="000B765E"/>
    <w:rsid w:val="000C1C72"/>
    <w:rsid w:val="000D14E0"/>
    <w:rsid w:val="000D5CB9"/>
    <w:rsid w:val="000E2D51"/>
    <w:rsid w:val="000E4E1C"/>
    <w:rsid w:val="000E69F9"/>
    <w:rsid w:val="000F01C7"/>
    <w:rsid w:val="000F02B0"/>
    <w:rsid w:val="00106455"/>
    <w:rsid w:val="001146B4"/>
    <w:rsid w:val="0011663B"/>
    <w:rsid w:val="00130B84"/>
    <w:rsid w:val="00147993"/>
    <w:rsid w:val="00161290"/>
    <w:rsid w:val="001642D4"/>
    <w:rsid w:val="00166E88"/>
    <w:rsid w:val="0017437E"/>
    <w:rsid w:val="001769E9"/>
    <w:rsid w:val="001A764B"/>
    <w:rsid w:val="001A76EF"/>
    <w:rsid w:val="001B6D57"/>
    <w:rsid w:val="001D043D"/>
    <w:rsid w:val="001D2B68"/>
    <w:rsid w:val="001D59BB"/>
    <w:rsid w:val="001F0772"/>
    <w:rsid w:val="001F226B"/>
    <w:rsid w:val="00202059"/>
    <w:rsid w:val="002270B4"/>
    <w:rsid w:val="00231F1F"/>
    <w:rsid w:val="00244FB4"/>
    <w:rsid w:val="00254B0D"/>
    <w:rsid w:val="002636EA"/>
    <w:rsid w:val="002804E0"/>
    <w:rsid w:val="002968EA"/>
    <w:rsid w:val="002A08B7"/>
    <w:rsid w:val="002A6A2C"/>
    <w:rsid w:val="002B07A6"/>
    <w:rsid w:val="002B6CFF"/>
    <w:rsid w:val="002D5B36"/>
    <w:rsid w:val="002E6C28"/>
    <w:rsid w:val="002F271A"/>
    <w:rsid w:val="002F758F"/>
    <w:rsid w:val="0032632D"/>
    <w:rsid w:val="0034672D"/>
    <w:rsid w:val="00354F96"/>
    <w:rsid w:val="00370036"/>
    <w:rsid w:val="00374F56"/>
    <w:rsid w:val="00383A97"/>
    <w:rsid w:val="003A1B14"/>
    <w:rsid w:val="003B086F"/>
    <w:rsid w:val="003B328A"/>
    <w:rsid w:val="003C484F"/>
    <w:rsid w:val="003D38C6"/>
    <w:rsid w:val="003E5DC9"/>
    <w:rsid w:val="004631D6"/>
    <w:rsid w:val="0046588A"/>
    <w:rsid w:val="00467B95"/>
    <w:rsid w:val="00471E04"/>
    <w:rsid w:val="00474D05"/>
    <w:rsid w:val="00475D47"/>
    <w:rsid w:val="00483052"/>
    <w:rsid w:val="0048468E"/>
    <w:rsid w:val="00485912"/>
    <w:rsid w:val="004B01FB"/>
    <w:rsid w:val="004B1F6A"/>
    <w:rsid w:val="004C233E"/>
    <w:rsid w:val="004C53C0"/>
    <w:rsid w:val="004E6CC6"/>
    <w:rsid w:val="004F3691"/>
    <w:rsid w:val="004F4BC8"/>
    <w:rsid w:val="00501D05"/>
    <w:rsid w:val="0050784A"/>
    <w:rsid w:val="00530837"/>
    <w:rsid w:val="005347AF"/>
    <w:rsid w:val="00542FDC"/>
    <w:rsid w:val="005469F7"/>
    <w:rsid w:val="005536F1"/>
    <w:rsid w:val="00556166"/>
    <w:rsid w:val="00561937"/>
    <w:rsid w:val="005644CD"/>
    <w:rsid w:val="00565ADB"/>
    <w:rsid w:val="005924AD"/>
    <w:rsid w:val="005B58A2"/>
    <w:rsid w:val="005D5A04"/>
    <w:rsid w:val="005F06C9"/>
    <w:rsid w:val="00603BD1"/>
    <w:rsid w:val="00604308"/>
    <w:rsid w:val="00626B71"/>
    <w:rsid w:val="00627820"/>
    <w:rsid w:val="0064168E"/>
    <w:rsid w:val="00641F3C"/>
    <w:rsid w:val="0064589E"/>
    <w:rsid w:val="00647141"/>
    <w:rsid w:val="0068326D"/>
    <w:rsid w:val="00685C28"/>
    <w:rsid w:val="00690B21"/>
    <w:rsid w:val="006951CB"/>
    <w:rsid w:val="007005A2"/>
    <w:rsid w:val="007315E7"/>
    <w:rsid w:val="007447E5"/>
    <w:rsid w:val="00750F87"/>
    <w:rsid w:val="00756107"/>
    <w:rsid w:val="00760CBC"/>
    <w:rsid w:val="00775490"/>
    <w:rsid w:val="007851B3"/>
    <w:rsid w:val="00795C24"/>
    <w:rsid w:val="007A6123"/>
    <w:rsid w:val="007B099F"/>
    <w:rsid w:val="007B3078"/>
    <w:rsid w:val="007C4066"/>
    <w:rsid w:val="007D4421"/>
    <w:rsid w:val="007D4EE6"/>
    <w:rsid w:val="007E4EFA"/>
    <w:rsid w:val="007E56A6"/>
    <w:rsid w:val="00811682"/>
    <w:rsid w:val="00830258"/>
    <w:rsid w:val="00832D69"/>
    <w:rsid w:val="00845A68"/>
    <w:rsid w:val="008735B8"/>
    <w:rsid w:val="00876164"/>
    <w:rsid w:val="008A4F4C"/>
    <w:rsid w:val="008C4AF4"/>
    <w:rsid w:val="008F1C1E"/>
    <w:rsid w:val="008F5BD8"/>
    <w:rsid w:val="00914399"/>
    <w:rsid w:val="00920D27"/>
    <w:rsid w:val="00923C5A"/>
    <w:rsid w:val="00951A88"/>
    <w:rsid w:val="009521DA"/>
    <w:rsid w:val="009557A2"/>
    <w:rsid w:val="009625AB"/>
    <w:rsid w:val="00965CB9"/>
    <w:rsid w:val="00971290"/>
    <w:rsid w:val="00971F4E"/>
    <w:rsid w:val="00982549"/>
    <w:rsid w:val="0099388E"/>
    <w:rsid w:val="00994FAD"/>
    <w:rsid w:val="00995902"/>
    <w:rsid w:val="009A5F67"/>
    <w:rsid w:val="009C2DD9"/>
    <w:rsid w:val="009C7DE9"/>
    <w:rsid w:val="009E20DC"/>
    <w:rsid w:val="009E6A99"/>
    <w:rsid w:val="009F21C9"/>
    <w:rsid w:val="00A0483C"/>
    <w:rsid w:val="00A31D6D"/>
    <w:rsid w:val="00A35425"/>
    <w:rsid w:val="00A55028"/>
    <w:rsid w:val="00A610F1"/>
    <w:rsid w:val="00A7558A"/>
    <w:rsid w:val="00A829E9"/>
    <w:rsid w:val="00A85170"/>
    <w:rsid w:val="00AA14E0"/>
    <w:rsid w:val="00AA3299"/>
    <w:rsid w:val="00AB6B46"/>
    <w:rsid w:val="00AC4EDA"/>
    <w:rsid w:val="00AD0DAF"/>
    <w:rsid w:val="00AE2D7B"/>
    <w:rsid w:val="00B00AE0"/>
    <w:rsid w:val="00B1762B"/>
    <w:rsid w:val="00B329EB"/>
    <w:rsid w:val="00B32B5D"/>
    <w:rsid w:val="00B342FD"/>
    <w:rsid w:val="00B4553E"/>
    <w:rsid w:val="00B47CDA"/>
    <w:rsid w:val="00B63DAD"/>
    <w:rsid w:val="00B659F7"/>
    <w:rsid w:val="00B820FD"/>
    <w:rsid w:val="00B83EF7"/>
    <w:rsid w:val="00B8681E"/>
    <w:rsid w:val="00BA5C55"/>
    <w:rsid w:val="00BA7F31"/>
    <w:rsid w:val="00BB21D5"/>
    <w:rsid w:val="00BC7018"/>
    <w:rsid w:val="00BF068C"/>
    <w:rsid w:val="00C0169F"/>
    <w:rsid w:val="00C01831"/>
    <w:rsid w:val="00C13262"/>
    <w:rsid w:val="00C15086"/>
    <w:rsid w:val="00C25B80"/>
    <w:rsid w:val="00C324CF"/>
    <w:rsid w:val="00C36CEA"/>
    <w:rsid w:val="00C4154A"/>
    <w:rsid w:val="00C46B27"/>
    <w:rsid w:val="00C56AD6"/>
    <w:rsid w:val="00C766FD"/>
    <w:rsid w:val="00C7714F"/>
    <w:rsid w:val="00C83996"/>
    <w:rsid w:val="00C84F79"/>
    <w:rsid w:val="00C95BA6"/>
    <w:rsid w:val="00CA3337"/>
    <w:rsid w:val="00CB0B4F"/>
    <w:rsid w:val="00CB7694"/>
    <w:rsid w:val="00CC40DB"/>
    <w:rsid w:val="00CD3CCA"/>
    <w:rsid w:val="00CD4380"/>
    <w:rsid w:val="00CF7E9D"/>
    <w:rsid w:val="00D15320"/>
    <w:rsid w:val="00D374E8"/>
    <w:rsid w:val="00D5534A"/>
    <w:rsid w:val="00D6084E"/>
    <w:rsid w:val="00D7408D"/>
    <w:rsid w:val="00D83404"/>
    <w:rsid w:val="00D90CEF"/>
    <w:rsid w:val="00D931BD"/>
    <w:rsid w:val="00DA4655"/>
    <w:rsid w:val="00DC3B1D"/>
    <w:rsid w:val="00DC4A7D"/>
    <w:rsid w:val="00DC7A90"/>
    <w:rsid w:val="00DD5E18"/>
    <w:rsid w:val="00DD6693"/>
    <w:rsid w:val="00DE0ACA"/>
    <w:rsid w:val="00DF4F2F"/>
    <w:rsid w:val="00DF7C52"/>
    <w:rsid w:val="00E36367"/>
    <w:rsid w:val="00E44648"/>
    <w:rsid w:val="00E526A6"/>
    <w:rsid w:val="00E631F0"/>
    <w:rsid w:val="00E83486"/>
    <w:rsid w:val="00E838A0"/>
    <w:rsid w:val="00E931D0"/>
    <w:rsid w:val="00EA4418"/>
    <w:rsid w:val="00EB5321"/>
    <w:rsid w:val="00EC109E"/>
    <w:rsid w:val="00EC2889"/>
    <w:rsid w:val="00EC573D"/>
    <w:rsid w:val="00ED511D"/>
    <w:rsid w:val="00EE7A9F"/>
    <w:rsid w:val="00EF0D15"/>
    <w:rsid w:val="00F5163F"/>
    <w:rsid w:val="00F60531"/>
    <w:rsid w:val="00F663F3"/>
    <w:rsid w:val="00F67D69"/>
    <w:rsid w:val="00F7010E"/>
    <w:rsid w:val="00F960BF"/>
    <w:rsid w:val="00FA6D8E"/>
    <w:rsid w:val="00FC1246"/>
    <w:rsid w:val="00FC5625"/>
    <w:rsid w:val="00FD5084"/>
    <w:rsid w:val="00FE10C2"/>
    <w:rsid w:val="00FF0CFD"/>
    <w:rsid w:val="00FF2DB0"/>
    <w:rsid w:val="0F3408B5"/>
    <w:rsid w:val="5CA411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Date"/>
    <w:basedOn w:val="1"/>
    <w:next w:val="1"/>
    <w:link w:val="10"/>
    <w:uiPriority w:val="0"/>
    <w:pPr>
      <w:ind w:left="100" w:leftChars="2500"/>
    </w:pPr>
  </w:style>
  <w:style w:type="paragraph" w:styleId="3">
    <w:name w:val="Balloon Text"/>
    <w:basedOn w:val="1"/>
    <w:semiHidden/>
    <w:qFormat/>
    <w:uiPriority w:val="0"/>
    <w:rPr>
      <w:sz w:val="18"/>
      <w:szCs w:val="18"/>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Normal (Web)"/>
    <w:basedOn w:val="1"/>
    <w:qFormat/>
    <w:uiPriority w:val="0"/>
    <w:pPr>
      <w:widowControl/>
      <w:spacing w:before="100" w:beforeAutospacing="1" w:after="100" w:afterAutospacing="1"/>
      <w:ind w:firstLine="480"/>
      <w:jc w:val="left"/>
    </w:pPr>
    <w:rPr>
      <w:rFonts w:ascii="宋体" w:hAnsi="宋体" w:cs="宋体"/>
      <w:kern w:val="0"/>
      <w:sz w:val="24"/>
    </w:rPr>
  </w:style>
  <w:style w:type="table" w:styleId="7">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9">
    <w:name w:val="page number"/>
    <w:basedOn w:val="8"/>
    <w:uiPriority w:val="0"/>
  </w:style>
  <w:style w:type="character" w:customStyle="1" w:styleId="10">
    <w:name w:val="日期 Char"/>
    <w:link w:val="2"/>
    <w:uiPriority w:val="0"/>
    <w:rPr>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4</Pages>
  <Words>381</Words>
  <Characters>2173</Characters>
  <Lines>18</Lines>
  <Paragraphs>5</Paragraphs>
  <TotalTime>1</TotalTime>
  <ScaleCrop>false</ScaleCrop>
  <LinksUpToDate>false</LinksUpToDate>
  <CharactersWithSpaces>2549</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2017-12-26T00:25:00Z</dcterms:created>
  <dc:creator>user</dc:creator>
  <cp:lastModifiedBy>Administrator</cp:lastModifiedBy>
  <cp:lastPrinted>2014-03-13T07:03:00Z</cp:lastPrinted>
  <dcterms:modified xsi:type="dcterms:W3CDTF">2019-06-13T02:23:34Z</dcterms:modified>
  <dc:title>滁州学院教学工作量计算办法（试行）</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